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44758" w14:textId="46BD2C8C" w:rsidR="00D14B45" w:rsidRDefault="002670DC">
      <w:pPr>
        <w:pStyle w:val="Heading1"/>
        <w:rPr>
          <w:u w:val="none"/>
        </w:rPr>
      </w:pPr>
      <w:r>
        <w:rPr>
          <w:u w:val="thick"/>
        </w:rPr>
        <w:t xml:space="preserve">ANMOL </w:t>
      </w:r>
      <w:r w:rsidR="000E4358">
        <w:rPr>
          <w:u w:val="thick"/>
        </w:rPr>
        <w:t>GROUP</w:t>
      </w:r>
    </w:p>
    <w:p w14:paraId="1A51EA51" w14:textId="77777777" w:rsidR="00D14B45" w:rsidRDefault="00D14B45">
      <w:pPr>
        <w:pStyle w:val="BodyText"/>
        <w:spacing w:before="1"/>
        <w:rPr>
          <w:b/>
          <w:sz w:val="17"/>
        </w:rPr>
      </w:pPr>
    </w:p>
    <w:p w14:paraId="5396D5C1" w14:textId="77777777" w:rsidR="00D14B45" w:rsidRDefault="00F70F63">
      <w:pPr>
        <w:spacing w:before="43"/>
        <w:ind w:left="2347" w:right="2348"/>
        <w:jc w:val="center"/>
        <w:rPr>
          <w:b/>
          <w:sz w:val="28"/>
        </w:rPr>
      </w:pPr>
      <w:r>
        <w:rPr>
          <w:b/>
          <w:sz w:val="28"/>
          <w:u w:val="thick"/>
        </w:rPr>
        <w:t>INVESTOR GRIEVANCE REDRESSAL POLICY</w:t>
      </w:r>
    </w:p>
    <w:p w14:paraId="5C932D05" w14:textId="77777777" w:rsidR="00D14B45" w:rsidRDefault="00D14B45">
      <w:pPr>
        <w:pStyle w:val="BodyText"/>
        <w:rPr>
          <w:b/>
          <w:sz w:val="20"/>
        </w:rPr>
      </w:pPr>
    </w:p>
    <w:p w14:paraId="153305D7" w14:textId="77777777" w:rsidR="00D14B45" w:rsidRDefault="00D14B45">
      <w:pPr>
        <w:pStyle w:val="BodyText"/>
        <w:rPr>
          <w:b/>
          <w:sz w:val="20"/>
        </w:rPr>
      </w:pPr>
    </w:p>
    <w:p w14:paraId="6173C798" w14:textId="77777777" w:rsidR="00D14B45" w:rsidRDefault="00D14B45">
      <w:pPr>
        <w:pStyle w:val="BodyText"/>
        <w:spacing w:before="9"/>
        <w:rPr>
          <w:b/>
          <w:sz w:val="17"/>
        </w:rPr>
      </w:pPr>
    </w:p>
    <w:p w14:paraId="31BCFECB" w14:textId="77777777" w:rsidR="00D14B45" w:rsidRDefault="00F70F63">
      <w:pPr>
        <w:pStyle w:val="Heading2"/>
        <w:numPr>
          <w:ilvl w:val="0"/>
          <w:numId w:val="1"/>
        </w:numPr>
        <w:tabs>
          <w:tab w:val="left" w:pos="840"/>
        </w:tabs>
        <w:spacing w:before="56"/>
      </w:pPr>
      <w:r>
        <w:t>OBJECTIVE</w:t>
      </w:r>
    </w:p>
    <w:p w14:paraId="3A876CCA" w14:textId="77777777" w:rsidR="00D14B45" w:rsidRDefault="00D14B45">
      <w:pPr>
        <w:pStyle w:val="BodyText"/>
        <w:spacing w:before="7"/>
        <w:rPr>
          <w:b/>
          <w:sz w:val="28"/>
        </w:rPr>
      </w:pPr>
    </w:p>
    <w:p w14:paraId="78656050" w14:textId="77777777" w:rsidR="00D14B45" w:rsidRDefault="00F70F63">
      <w:pPr>
        <w:pStyle w:val="BodyText"/>
        <w:spacing w:line="276" w:lineRule="auto"/>
        <w:ind w:left="839" w:right="118"/>
        <w:jc w:val="both"/>
      </w:pPr>
      <w:r>
        <w:t xml:space="preserve">The objective of the policy is to address the grievances of the customers. One of the core value of our company is </w:t>
      </w:r>
      <w:r>
        <w:rPr>
          <w:b/>
        </w:rPr>
        <w:t xml:space="preserve">“Customer first” </w:t>
      </w:r>
      <w:r>
        <w:t>and we ensure that customers are satisfied with the services rendered by us. This policy has been formulated in order to ensure that grievances of the customers are effectively &amp; timely</w:t>
      </w:r>
      <w:r w:rsidR="002670DC">
        <w:t xml:space="preserve"> </w:t>
      </w:r>
      <w:r>
        <w:t>redressed.</w:t>
      </w:r>
    </w:p>
    <w:p w14:paraId="642CE295" w14:textId="77777777" w:rsidR="00D14B45" w:rsidRDefault="00D14B45">
      <w:pPr>
        <w:pStyle w:val="BodyText"/>
        <w:spacing w:before="4"/>
        <w:rPr>
          <w:sz w:val="25"/>
        </w:rPr>
      </w:pPr>
    </w:p>
    <w:p w14:paraId="28FD6258" w14:textId="77777777" w:rsidR="00D14B45" w:rsidRDefault="00F70F63">
      <w:pPr>
        <w:pStyle w:val="Heading2"/>
        <w:numPr>
          <w:ilvl w:val="0"/>
          <w:numId w:val="1"/>
        </w:numPr>
        <w:tabs>
          <w:tab w:val="left" w:pos="840"/>
        </w:tabs>
        <w:ind w:left="839"/>
      </w:pPr>
      <w:r>
        <w:t>POLICY</w:t>
      </w:r>
    </w:p>
    <w:p w14:paraId="1BB2993F" w14:textId="77777777" w:rsidR="00D14B45" w:rsidRDefault="00D14B45">
      <w:pPr>
        <w:pStyle w:val="BodyText"/>
        <w:spacing w:before="7"/>
        <w:rPr>
          <w:b/>
          <w:sz w:val="28"/>
        </w:rPr>
      </w:pPr>
    </w:p>
    <w:p w14:paraId="2DADC01C" w14:textId="1CC9698E" w:rsidR="00D14B45" w:rsidRDefault="00F70F63">
      <w:pPr>
        <w:pStyle w:val="BodyText"/>
        <w:spacing w:before="1" w:line="276" w:lineRule="auto"/>
        <w:ind w:left="839" w:right="117"/>
        <w:jc w:val="both"/>
      </w:pPr>
      <w:r>
        <w:t xml:space="preserve">The company has a separately designated investor grievances email id </w:t>
      </w:r>
      <w:hyperlink r:id="rId8" w:history="1">
        <w:r w:rsidR="001B573D" w:rsidRPr="000B7EDF">
          <w:rPr>
            <w:rStyle w:val="Hyperlink"/>
          </w:rPr>
          <w:t xml:space="preserve">grievance@myanmol.com </w:t>
        </w:r>
      </w:hyperlink>
      <w:r>
        <w:t xml:space="preserve">on which the client or investor can lodge a complaint. The designated email‐id is displayed on the website of the Company </w:t>
      </w:r>
      <w:hyperlink r:id="rId9" w:history="1">
        <w:r w:rsidR="001B573D" w:rsidRPr="000B7EDF">
          <w:rPr>
            <w:rStyle w:val="Hyperlink"/>
          </w:rPr>
          <w:t>www.myanmol.com</w:t>
        </w:r>
      </w:hyperlink>
      <w:r>
        <w:rPr>
          <w:color w:val="0000FF"/>
        </w:rPr>
        <w:t xml:space="preserve"> </w:t>
      </w:r>
    </w:p>
    <w:p w14:paraId="7DAFAAD0" w14:textId="77777777" w:rsidR="00D14B45" w:rsidRDefault="00D14B45">
      <w:pPr>
        <w:pStyle w:val="BodyText"/>
        <w:spacing w:before="3"/>
        <w:rPr>
          <w:sz w:val="25"/>
        </w:rPr>
      </w:pPr>
    </w:p>
    <w:p w14:paraId="5738FA0D" w14:textId="0520C6DD" w:rsidR="00D14B45" w:rsidRDefault="00F70F63">
      <w:pPr>
        <w:pStyle w:val="Heading2"/>
        <w:ind w:firstLine="0"/>
        <w:jc w:val="both"/>
      </w:pPr>
      <w:r>
        <w:t>RECEIPT OF COMPLAIN</w:t>
      </w:r>
      <w:r w:rsidR="000E4358">
        <w:t>T</w:t>
      </w:r>
    </w:p>
    <w:p w14:paraId="3FDDB4BE" w14:textId="77777777" w:rsidR="00D14B45" w:rsidRDefault="00D14B45">
      <w:pPr>
        <w:pStyle w:val="BodyText"/>
        <w:spacing w:before="9"/>
        <w:rPr>
          <w:b/>
          <w:sz w:val="19"/>
        </w:rPr>
      </w:pPr>
    </w:p>
    <w:p w14:paraId="376BA5B4" w14:textId="722E0496" w:rsidR="00D14B45" w:rsidRDefault="00F70F63">
      <w:pPr>
        <w:pStyle w:val="BodyText"/>
        <w:ind w:left="839" w:right="117"/>
        <w:jc w:val="both"/>
      </w:pPr>
      <w:r>
        <w:t xml:space="preserve">Anmol can receive client complaint either directly from client ‐ in any of the modes viz physical letters, fax, e‐mail, phone and personal visit. </w:t>
      </w:r>
    </w:p>
    <w:p w14:paraId="37C0CB93" w14:textId="77777777" w:rsidR="00D14B45" w:rsidRDefault="00D14B45">
      <w:pPr>
        <w:pStyle w:val="BodyText"/>
        <w:spacing w:before="12"/>
        <w:rPr>
          <w:sz w:val="21"/>
        </w:rPr>
      </w:pPr>
    </w:p>
    <w:p w14:paraId="7A4E906E" w14:textId="77777777" w:rsidR="00D14B45" w:rsidRDefault="00F70F63">
      <w:pPr>
        <w:pStyle w:val="BodyText"/>
        <w:ind w:left="839" w:right="120" w:hanging="1"/>
        <w:jc w:val="both"/>
      </w:pPr>
      <w:r>
        <w:t>Handling of all investor grievances is a centralized function and is being handled by Compliance Department at the Corporate office of the company.</w:t>
      </w:r>
    </w:p>
    <w:p w14:paraId="3307B77C" w14:textId="77777777" w:rsidR="00D14B45" w:rsidRDefault="00D14B45">
      <w:pPr>
        <w:pStyle w:val="BodyText"/>
      </w:pPr>
    </w:p>
    <w:p w14:paraId="4A16DCB3" w14:textId="77777777" w:rsidR="00D14B45" w:rsidRDefault="00D14B45">
      <w:pPr>
        <w:pStyle w:val="BodyText"/>
        <w:spacing w:before="8"/>
        <w:rPr>
          <w:sz w:val="19"/>
        </w:rPr>
      </w:pPr>
    </w:p>
    <w:p w14:paraId="6A1D91E5" w14:textId="5579D2B7" w:rsidR="00D14B45" w:rsidRDefault="00F70F63">
      <w:pPr>
        <w:pStyle w:val="Heading2"/>
        <w:spacing w:before="1"/>
        <w:ind w:firstLine="0"/>
        <w:jc w:val="both"/>
      </w:pPr>
      <w:r>
        <w:t>RECORDING OF COMPLAIN</w:t>
      </w:r>
      <w:r w:rsidR="000E4358">
        <w:t>T</w:t>
      </w:r>
    </w:p>
    <w:p w14:paraId="0B72FA5A" w14:textId="77777777" w:rsidR="00D14B45" w:rsidRDefault="00D14B45">
      <w:pPr>
        <w:pStyle w:val="BodyText"/>
        <w:spacing w:before="8"/>
        <w:rPr>
          <w:b/>
          <w:sz w:val="19"/>
        </w:rPr>
      </w:pPr>
    </w:p>
    <w:p w14:paraId="54FB0159" w14:textId="6A72ECF8" w:rsidR="00D14B45" w:rsidRDefault="00F70F63">
      <w:pPr>
        <w:pStyle w:val="BodyText"/>
        <w:spacing w:line="276" w:lineRule="auto"/>
        <w:ind w:left="839" w:right="117" w:hanging="1"/>
        <w:jc w:val="both"/>
      </w:pPr>
      <w:r>
        <w:t>A</w:t>
      </w:r>
      <w:r w:rsidR="002670DC">
        <w:t xml:space="preserve"> </w:t>
      </w:r>
      <w:r>
        <w:t>Register of Complaints is maintained in accordance to the rules, regulations, Bye laws and directives of the Exchanges/SEBI stating complete detail of complaints.</w:t>
      </w:r>
    </w:p>
    <w:p w14:paraId="3C6F8514" w14:textId="77777777" w:rsidR="00D14B45" w:rsidRDefault="00D14B45">
      <w:pPr>
        <w:pStyle w:val="BodyText"/>
        <w:spacing w:before="3"/>
        <w:rPr>
          <w:sz w:val="16"/>
        </w:rPr>
      </w:pPr>
    </w:p>
    <w:p w14:paraId="1D5130A0" w14:textId="79889DF6" w:rsidR="00D14B45" w:rsidRDefault="00F70F63">
      <w:pPr>
        <w:pStyle w:val="BodyText"/>
        <w:spacing w:before="1" w:line="276" w:lineRule="auto"/>
        <w:ind w:left="839" w:right="118"/>
        <w:jc w:val="both"/>
      </w:pPr>
      <w:r>
        <w:t>All the Investors complaints are recorded immediately in Investor Grievance Register maintained separately for each Exchange and Depository.</w:t>
      </w:r>
      <w:r w:rsidR="002670DC">
        <w:t xml:space="preserve"> </w:t>
      </w:r>
      <w:r>
        <w:t xml:space="preserve">The Complaint received either physically or electronically by email shall be filed serially. The </w:t>
      </w:r>
      <w:r w:rsidR="00566704">
        <w:t xml:space="preserve">Senior Manager </w:t>
      </w:r>
      <w:r>
        <w:t>will be responsible for receiving and recording all the Investor complaint.</w:t>
      </w:r>
    </w:p>
    <w:p w14:paraId="4EC3343A" w14:textId="77777777" w:rsidR="00D14B45" w:rsidRDefault="00D14B45">
      <w:pPr>
        <w:spacing w:line="276" w:lineRule="auto"/>
        <w:jc w:val="both"/>
        <w:sectPr w:rsidR="00D14B45">
          <w:type w:val="continuous"/>
          <w:pgSz w:w="12240" w:h="15840"/>
          <w:pgMar w:top="1420" w:right="1320" w:bottom="280" w:left="1320" w:header="720" w:footer="720" w:gutter="0"/>
          <w:cols w:space="720"/>
        </w:sectPr>
      </w:pPr>
    </w:p>
    <w:p w14:paraId="31B78790" w14:textId="77777777" w:rsidR="00D14B45" w:rsidRDefault="00F70F63">
      <w:pPr>
        <w:pStyle w:val="Heading2"/>
        <w:spacing w:before="39"/>
        <w:ind w:left="840" w:firstLine="0"/>
        <w:jc w:val="both"/>
      </w:pPr>
      <w:r>
        <w:lastRenderedPageBreak/>
        <w:t>HANDLING OF COMPLAINT</w:t>
      </w:r>
    </w:p>
    <w:p w14:paraId="68D867C4" w14:textId="77777777" w:rsidR="00D14B45" w:rsidRDefault="00D14B45">
      <w:pPr>
        <w:pStyle w:val="BodyText"/>
        <w:spacing w:before="8"/>
        <w:rPr>
          <w:b/>
          <w:sz w:val="19"/>
        </w:rPr>
      </w:pPr>
    </w:p>
    <w:p w14:paraId="5111BCD8" w14:textId="5A4673DE" w:rsidR="00D14B45" w:rsidRDefault="00F70F63">
      <w:pPr>
        <w:pStyle w:val="BodyText"/>
        <w:spacing w:line="276" w:lineRule="auto"/>
        <w:ind w:left="839" w:right="119"/>
        <w:jc w:val="both"/>
      </w:pPr>
      <w:r>
        <w:t xml:space="preserve">It will be the duty of </w:t>
      </w:r>
      <w:r w:rsidR="00566704">
        <w:t xml:space="preserve">Senior Manager </w:t>
      </w:r>
      <w:r>
        <w:t>to ensure that the complaints received from investors are redressed earliest and without delay.</w:t>
      </w:r>
    </w:p>
    <w:p w14:paraId="308680DD" w14:textId="77777777" w:rsidR="00D14B45" w:rsidRDefault="00D14B45">
      <w:pPr>
        <w:pStyle w:val="BodyText"/>
        <w:spacing w:before="4"/>
        <w:rPr>
          <w:sz w:val="16"/>
        </w:rPr>
      </w:pPr>
    </w:p>
    <w:p w14:paraId="330A6252" w14:textId="42D1C654" w:rsidR="00D14B45" w:rsidRDefault="00F70F63">
      <w:pPr>
        <w:pStyle w:val="BodyText"/>
        <w:spacing w:before="1"/>
        <w:ind w:left="839" w:right="116"/>
        <w:jc w:val="both"/>
      </w:pPr>
      <w:r>
        <w:t>All the Investor Grievances received are verified and scrutinized by the compliance department.</w:t>
      </w:r>
      <w:r w:rsidR="002670DC">
        <w:t xml:space="preserve"> </w:t>
      </w:r>
      <w:r>
        <w:t xml:space="preserve">On receipt of the complaint, the </w:t>
      </w:r>
      <w:r w:rsidR="00566704">
        <w:t xml:space="preserve">Senior Manager </w:t>
      </w:r>
      <w:r>
        <w:t>can seek further information from the complainant and also seek any details/information from the concerned department</w:t>
      </w:r>
      <w:r w:rsidR="002670DC">
        <w:t>/ officials/Sub‐Brokers/Authoriz</w:t>
      </w:r>
      <w:r>
        <w:t>ed Person for verification against allegations made in the complaint. If there is no response from concerned departme</w:t>
      </w:r>
      <w:r w:rsidR="002670DC">
        <w:t>nt/officials/Sub‐Broker/Authoriz</w:t>
      </w:r>
      <w:r>
        <w:t xml:space="preserve">ed Person within 7 working days of the complaint, the same is escalated to </w:t>
      </w:r>
      <w:r w:rsidR="00566704">
        <w:t>the Compliance Officer</w:t>
      </w:r>
      <w:r>
        <w:t>.</w:t>
      </w:r>
    </w:p>
    <w:p w14:paraId="306ABAEF" w14:textId="77777777" w:rsidR="00D14B45" w:rsidRDefault="00D14B45">
      <w:pPr>
        <w:pStyle w:val="BodyText"/>
      </w:pPr>
    </w:p>
    <w:p w14:paraId="09921FD2" w14:textId="77777777" w:rsidR="00D14B45" w:rsidRDefault="00F70F63">
      <w:pPr>
        <w:pStyle w:val="BodyText"/>
        <w:spacing w:line="276" w:lineRule="auto"/>
        <w:ind w:left="840" w:right="118" w:hanging="1"/>
        <w:jc w:val="both"/>
      </w:pPr>
      <w:r>
        <w:t>The company has set a target period of maximum 30 days for redressal of any complainant and providing prompt reply to the Investor.</w:t>
      </w:r>
    </w:p>
    <w:p w14:paraId="45DB6938" w14:textId="77777777" w:rsidR="00D14B45" w:rsidRDefault="00D14B45">
      <w:pPr>
        <w:pStyle w:val="BodyText"/>
        <w:spacing w:before="4"/>
        <w:rPr>
          <w:sz w:val="16"/>
        </w:rPr>
      </w:pPr>
    </w:p>
    <w:p w14:paraId="0D607073" w14:textId="77777777" w:rsidR="00D14B45" w:rsidRDefault="00F70F63">
      <w:pPr>
        <w:pStyle w:val="BodyText"/>
        <w:ind w:left="840"/>
        <w:jc w:val="both"/>
      </w:pPr>
      <w:r>
        <w:t>Once the complaint is resolved/closed, the Compliance Officer gives the sign‐off.</w:t>
      </w:r>
    </w:p>
    <w:p w14:paraId="47C69CDB" w14:textId="77777777" w:rsidR="00D14B45" w:rsidRDefault="00D14B45">
      <w:pPr>
        <w:pStyle w:val="BodyText"/>
        <w:spacing w:before="8"/>
        <w:rPr>
          <w:sz w:val="19"/>
        </w:rPr>
      </w:pPr>
    </w:p>
    <w:p w14:paraId="297C566D" w14:textId="77777777" w:rsidR="00D14B45" w:rsidRDefault="00F70F63">
      <w:pPr>
        <w:pStyle w:val="Heading2"/>
        <w:spacing w:before="1"/>
        <w:ind w:firstLine="0"/>
        <w:jc w:val="both"/>
      </w:pPr>
      <w:r>
        <w:t>REVIEW OF COMPLAINT</w:t>
      </w:r>
    </w:p>
    <w:p w14:paraId="220C5769" w14:textId="77777777" w:rsidR="00D14B45" w:rsidRDefault="00D14B45">
      <w:pPr>
        <w:pStyle w:val="BodyText"/>
        <w:spacing w:before="8"/>
        <w:rPr>
          <w:b/>
          <w:sz w:val="19"/>
        </w:rPr>
      </w:pPr>
    </w:p>
    <w:p w14:paraId="4E821961" w14:textId="47D6A1E8" w:rsidR="00D14B45" w:rsidRDefault="00F70F63">
      <w:pPr>
        <w:pStyle w:val="BodyText"/>
        <w:ind w:left="840" w:right="116" w:hanging="1"/>
        <w:jc w:val="both"/>
      </w:pPr>
      <w:r>
        <w:t xml:space="preserve">The </w:t>
      </w:r>
      <w:r w:rsidR="00566704">
        <w:t xml:space="preserve">Senior Manager </w:t>
      </w:r>
      <w:r>
        <w:t>regularly monitors and reviews complaints according to its nature, originating branch, against a particular employee and/or sub‐brokers, authorized person etc. and on the basis of such analysis, inform the management to take adequate steps to strengthen the</w:t>
      </w:r>
      <w:r>
        <w:rPr>
          <w:spacing w:val="-2"/>
        </w:rPr>
        <w:t xml:space="preserve"> </w:t>
      </w:r>
      <w:r>
        <w:t>systems.</w:t>
      </w:r>
    </w:p>
    <w:p w14:paraId="70148DF4" w14:textId="77777777" w:rsidR="00D14B45" w:rsidRDefault="00D14B45">
      <w:pPr>
        <w:pStyle w:val="BodyText"/>
      </w:pPr>
    </w:p>
    <w:p w14:paraId="5F96C32C" w14:textId="55F9D74F" w:rsidR="00D14B45" w:rsidRDefault="00F70F63">
      <w:pPr>
        <w:pStyle w:val="BodyText"/>
        <w:spacing w:line="453" w:lineRule="auto"/>
        <w:ind w:left="840" w:right="2840"/>
      </w:pPr>
      <w:r>
        <w:t xml:space="preserve">The </w:t>
      </w:r>
      <w:r w:rsidR="00566704">
        <w:t xml:space="preserve">Compliance Officer </w:t>
      </w:r>
      <w:r>
        <w:t xml:space="preserve">reviews the status of pending complaints. </w:t>
      </w:r>
    </w:p>
    <w:p w14:paraId="35CA60CD" w14:textId="77777777" w:rsidR="00D14B45" w:rsidRDefault="00F70F63">
      <w:pPr>
        <w:pStyle w:val="BodyText"/>
        <w:spacing w:before="2"/>
        <w:ind w:left="840" w:right="128" w:hanging="1"/>
      </w:pPr>
      <w:r>
        <w:t>A MIS of the complaints received, pending and resolved during the Quarter are placed before the Board of Directors of the company for their review and necessary</w:t>
      </w:r>
      <w:r>
        <w:rPr>
          <w:spacing w:val="-13"/>
        </w:rPr>
        <w:t xml:space="preserve"> </w:t>
      </w:r>
      <w:r>
        <w:t>advice.</w:t>
      </w:r>
    </w:p>
    <w:p w14:paraId="2FF06EF1" w14:textId="77777777" w:rsidR="00D14B45" w:rsidRDefault="00D14B45">
      <w:pPr>
        <w:pStyle w:val="BodyText"/>
        <w:spacing w:before="1"/>
      </w:pPr>
    </w:p>
    <w:p w14:paraId="35DCDE8E" w14:textId="77777777" w:rsidR="00D14B45" w:rsidRDefault="00F70F63">
      <w:pPr>
        <w:pStyle w:val="Heading2"/>
        <w:numPr>
          <w:ilvl w:val="0"/>
          <w:numId w:val="1"/>
        </w:numPr>
        <w:tabs>
          <w:tab w:val="left" w:pos="840"/>
        </w:tabs>
      </w:pPr>
      <w:r>
        <w:t>MAINTAINENCE OF</w:t>
      </w:r>
      <w:r>
        <w:rPr>
          <w:spacing w:val="-2"/>
        </w:rPr>
        <w:t xml:space="preserve"> </w:t>
      </w:r>
      <w:r>
        <w:t>RECORDS</w:t>
      </w:r>
    </w:p>
    <w:p w14:paraId="7552C09B" w14:textId="77777777" w:rsidR="00D14B45" w:rsidRDefault="00D14B45">
      <w:pPr>
        <w:pStyle w:val="BodyText"/>
        <w:spacing w:before="11"/>
        <w:rPr>
          <w:b/>
          <w:sz w:val="21"/>
        </w:rPr>
      </w:pPr>
    </w:p>
    <w:p w14:paraId="02B3DE0B" w14:textId="77777777" w:rsidR="00D14B45" w:rsidRDefault="00F70F63">
      <w:pPr>
        <w:pStyle w:val="BodyText"/>
        <w:spacing w:before="1"/>
        <w:ind w:left="840"/>
      </w:pPr>
      <w:r>
        <w:t>The Complaint Register will be maintained for such period as prescribed by regulatory authority.</w:t>
      </w:r>
    </w:p>
    <w:p w14:paraId="4959F67B" w14:textId="77777777" w:rsidR="00D14B45" w:rsidRDefault="00D14B45">
      <w:pPr>
        <w:pStyle w:val="BodyText"/>
      </w:pPr>
    </w:p>
    <w:p w14:paraId="1B51A627" w14:textId="77777777" w:rsidR="00D14B45" w:rsidRDefault="00F70F63">
      <w:pPr>
        <w:pStyle w:val="Heading2"/>
        <w:numPr>
          <w:ilvl w:val="0"/>
          <w:numId w:val="1"/>
        </w:numPr>
        <w:tabs>
          <w:tab w:val="left" w:pos="840"/>
        </w:tabs>
        <w:ind w:left="839"/>
      </w:pPr>
      <w:r>
        <w:t>REVIEW OF THE</w:t>
      </w:r>
      <w:r>
        <w:rPr>
          <w:spacing w:val="-1"/>
        </w:rPr>
        <w:t xml:space="preserve"> </w:t>
      </w:r>
      <w:r>
        <w:t>POLICY</w:t>
      </w:r>
    </w:p>
    <w:p w14:paraId="265FEC01" w14:textId="77777777" w:rsidR="00D14B45" w:rsidRDefault="00D14B45">
      <w:pPr>
        <w:pStyle w:val="BodyText"/>
        <w:rPr>
          <w:b/>
        </w:rPr>
      </w:pPr>
    </w:p>
    <w:p w14:paraId="48EDA0EE" w14:textId="77777777" w:rsidR="00D14B45" w:rsidRDefault="00F70F63">
      <w:pPr>
        <w:pStyle w:val="BodyText"/>
        <w:spacing w:before="1"/>
        <w:ind w:left="839" w:right="128" w:hanging="1"/>
      </w:pPr>
      <w:r>
        <w:t>This policy is to be reviewed as &amp; when management thinks fit or whenever changes are mandated by statutory authorities.</w:t>
      </w:r>
    </w:p>
    <w:p w14:paraId="5F4397A3" w14:textId="77777777" w:rsidR="00D14B45" w:rsidRDefault="00D14B45">
      <w:pPr>
        <w:pStyle w:val="BodyText"/>
      </w:pPr>
    </w:p>
    <w:p w14:paraId="3F1D2580" w14:textId="77777777" w:rsidR="00D14B45" w:rsidRDefault="00D14B45">
      <w:pPr>
        <w:pStyle w:val="BodyText"/>
        <w:spacing w:before="7"/>
        <w:rPr>
          <w:sz w:val="19"/>
        </w:rPr>
      </w:pPr>
    </w:p>
    <w:p w14:paraId="5C347ECF" w14:textId="77777777" w:rsidR="00D14B45" w:rsidRDefault="00F70F63">
      <w:pPr>
        <w:pStyle w:val="BodyText"/>
        <w:ind w:left="119"/>
      </w:pPr>
      <w:proofErr w:type="gramStart"/>
      <w:r>
        <w:t>Place :</w:t>
      </w:r>
      <w:proofErr w:type="gramEnd"/>
      <w:r>
        <w:t xml:space="preserve"> </w:t>
      </w:r>
      <w:r w:rsidR="002670DC">
        <w:t>Bangalore</w:t>
      </w:r>
    </w:p>
    <w:p w14:paraId="64F1A6D6" w14:textId="77777777" w:rsidR="00D14B45" w:rsidRDefault="00D14B45">
      <w:pPr>
        <w:pStyle w:val="BodyText"/>
        <w:spacing w:before="8"/>
        <w:rPr>
          <w:sz w:val="19"/>
        </w:rPr>
      </w:pPr>
    </w:p>
    <w:p w14:paraId="259A3F34" w14:textId="7DC1C069" w:rsidR="00D14B45" w:rsidRDefault="00F70F63">
      <w:pPr>
        <w:pStyle w:val="BodyText"/>
        <w:ind w:left="119"/>
      </w:pPr>
      <w:r>
        <w:t>Dated : 28</w:t>
      </w:r>
      <w:r>
        <w:rPr>
          <w:vertAlign w:val="superscript"/>
        </w:rPr>
        <w:t>th</w:t>
      </w:r>
      <w:r w:rsidR="002670DC">
        <w:t xml:space="preserve"> April 201</w:t>
      </w:r>
      <w:r w:rsidR="00E46F59">
        <w:t>7</w:t>
      </w:r>
      <w:bookmarkStart w:id="0" w:name="_GoBack"/>
      <w:bookmarkEnd w:id="0"/>
    </w:p>
    <w:sectPr w:rsidR="00D14B45">
      <w:pgSz w:w="12240" w:h="15840"/>
      <w:pgMar w:top="14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35BE9"/>
    <w:multiLevelType w:val="hybridMultilevel"/>
    <w:tmpl w:val="A55AD806"/>
    <w:lvl w:ilvl="0" w:tplc="DCCAEA20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n-US" w:eastAsia="en-US" w:bidi="ar-SA"/>
      </w:rPr>
    </w:lvl>
    <w:lvl w:ilvl="1" w:tplc="6A4C5256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 w:tplc="20164F22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56B000B8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4" w:tplc="0BFC0334"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ar-SA"/>
      </w:rPr>
    </w:lvl>
    <w:lvl w:ilvl="5" w:tplc="29FE3A4A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7F348D7A"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ar-SA"/>
      </w:rPr>
    </w:lvl>
    <w:lvl w:ilvl="7" w:tplc="0EFE9FD0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7DFA70FE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45"/>
    <w:rsid w:val="000E4358"/>
    <w:rsid w:val="001B573D"/>
    <w:rsid w:val="002670DC"/>
    <w:rsid w:val="00566704"/>
    <w:rsid w:val="00D14B45"/>
    <w:rsid w:val="00E46F59"/>
    <w:rsid w:val="00F7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AC9A9"/>
  <w15:docId w15:val="{41487F81-382C-4A12-9CF7-664D77BE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8"/>
      <w:ind w:left="2347" w:right="234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839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70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evance@myanmol.com%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yanm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006AA226FC84282A6CFA30FEB81FB" ma:contentTypeVersion="18" ma:contentTypeDescription="Create a new document." ma:contentTypeScope="" ma:versionID="a5a5238ac4925a3149dd12d93378fdd8">
  <xsd:schema xmlns:xsd="http://www.w3.org/2001/XMLSchema" xmlns:xs="http://www.w3.org/2001/XMLSchema" xmlns:p="http://schemas.microsoft.com/office/2006/metadata/properties" xmlns:ns3="591b5df6-0ad9-4201-92bb-89a74457ddaa" xmlns:ns4="ad28a737-78c1-462a-95b2-61858b857904" targetNamespace="http://schemas.microsoft.com/office/2006/metadata/properties" ma:root="true" ma:fieldsID="2203e0b1d65db1a493d8775b30e3c3b6" ns3:_="" ns4:_="">
    <xsd:import namespace="591b5df6-0ad9-4201-92bb-89a74457ddaa"/>
    <xsd:import namespace="ad28a737-78c1-462a-95b2-61858b85790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b5df6-0ad9-4201-92bb-89a74457dd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8a737-78c1-462a-95b2-61858b857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28a737-78c1-462a-95b2-61858b857904" xsi:nil="true"/>
  </documentManagement>
</p:properties>
</file>

<file path=customXml/itemProps1.xml><?xml version="1.0" encoding="utf-8"?>
<ds:datastoreItem xmlns:ds="http://schemas.openxmlformats.org/officeDocument/2006/customXml" ds:itemID="{F5A29F77-479E-4F4E-8B51-789838B3C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b5df6-0ad9-4201-92bb-89a74457ddaa"/>
    <ds:schemaRef ds:uri="ad28a737-78c1-462a-95b2-61858b85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0F1606-C982-4911-A91F-5A45E6232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943C1-B9A8-49D0-ABA8-220D119C29FF}">
  <ds:schemaRefs>
    <ds:schemaRef ds:uri="http://www.w3.org/XML/1998/namespace"/>
    <ds:schemaRef ds:uri="ad28a737-78c1-462a-95b2-61858b857904"/>
    <ds:schemaRef ds:uri="http://schemas.openxmlformats.org/package/2006/metadata/core-properties"/>
    <ds:schemaRef ds:uri="591b5df6-0ad9-4201-92bb-89a74457ddaa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Redressal Mechanism of Investor Grievance NP</dc:title>
  <dc:creator>ga</dc:creator>
  <cp:lastModifiedBy>Mohit Bajaj</cp:lastModifiedBy>
  <cp:revision>3</cp:revision>
  <dcterms:created xsi:type="dcterms:W3CDTF">2024-05-28T10:31:00Z</dcterms:created>
  <dcterms:modified xsi:type="dcterms:W3CDTF">2024-05-28T10:37:00Z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2020-06-26T00:00:00Z</vt:filetime>
  </property>
  <property fmtid="{D5CDD505-2E9C-101B-9397-08002B2CF9AE}" pid="5" name="ContentTypeId">
    <vt:lpwstr>0x010100116006AA226FC84282A6CFA30FEB81FB</vt:lpwstr>
  </property>
</Properties>
</file>